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C6258E" w14:textId="77777777" w:rsidR="00CA0EF8" w:rsidRPr="003D7E71" w:rsidRDefault="00CA0EF8" w:rsidP="00CA0EF8">
      <w:pPr>
        <w:bidi/>
        <w:rPr>
          <w:rFonts w:hint="cs"/>
        </w:rPr>
      </w:pPr>
    </w:p>
    <w:tbl>
      <w:tblPr>
        <w:bidiVisual/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shd w:val="clear" w:color="auto" w:fill="FFFF99"/>
        <w:tblLook w:val="0000" w:firstRow="0" w:lastRow="0" w:firstColumn="0" w:lastColumn="0" w:noHBand="0" w:noVBand="0"/>
      </w:tblPr>
      <w:tblGrid>
        <w:gridCol w:w="9328"/>
      </w:tblGrid>
      <w:tr w:rsidR="00CA0EF8" w:rsidRPr="006D37B5" w14:paraId="377BA521" w14:textId="77777777" w:rsidTr="007009F3">
        <w:trPr>
          <w:cantSplit/>
        </w:trPr>
        <w:tc>
          <w:tcPr>
            <w:tcW w:w="9328" w:type="dxa"/>
            <w:shd w:val="clear" w:color="auto" w:fill="FFFF99"/>
          </w:tcPr>
          <w:p w14:paraId="1C9B71C2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120" w:after="120"/>
              <w:ind w:left="142"/>
              <w:jc w:val="left"/>
              <w:rPr>
                <w:sz w:val="17"/>
              </w:rPr>
            </w:pPr>
            <w:r w:rsidRPr="006D37B5">
              <w:rPr>
                <w:sz w:val="17"/>
                <w:szCs w:val="17"/>
                <w:rtl/>
                <w:lang w:eastAsia="ar"/>
              </w:rPr>
              <w:t xml:space="preserve">تهدف قائمة التدقيق هذه إلى أن تكون موجهًا في تحديد المخاطر المرتبطة بالعمل/الخدمات التي سيتم تنفيذها.  وعلى الرغم من أنها منظمة لتكون شاملة بطبيعتها ولا تقتصر على المخاطر التي يتعرض لها الموظفون/المقاولون، إلا أنها قد لا تشتمل على جميع تغييرات المخاطر التي يمكن تصورها.  فهي مُصممة لدراسة المخاطر واحتمال حدوثها.  والهدف هنا هو تحديد المخاطر وليس التدابير الوقائية و/أو التخفيفية للمخاطر المحددة.  </w:t>
            </w:r>
          </w:p>
          <w:p w14:paraId="1267E9A9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120" w:after="120"/>
              <w:ind w:left="142"/>
              <w:jc w:val="left"/>
              <w:rPr>
                <w:b/>
                <w:bCs/>
                <w:sz w:val="17"/>
              </w:rPr>
            </w:pPr>
            <w:r w:rsidRPr="006D37B5">
              <w:rPr>
                <w:b/>
                <w:bCs/>
                <w:sz w:val="17"/>
                <w:szCs w:val="17"/>
                <w:rtl/>
                <w:lang w:eastAsia="ar"/>
              </w:rPr>
              <w:t>لم تُصمم قائمة التدقيق التالية لتكون شاملة ومن المتوقع أن يمارس المستخدم حكمه المهني فيما يتعلق باكتمال القائمة و/أو قابليتها للتطبيق.</w:t>
            </w:r>
          </w:p>
        </w:tc>
      </w:tr>
    </w:tbl>
    <w:p w14:paraId="1D7AA753" w14:textId="77777777" w:rsidR="00CA0EF8" w:rsidRPr="006D37B5" w:rsidRDefault="00CA0EF8" w:rsidP="00CA0EF8">
      <w:pPr>
        <w:bidi/>
        <w:jc w:val="left"/>
        <w:rPr>
          <w:rFonts w:ascii="Times New Roman" w:hAnsi="Times New Roman"/>
          <w:sz w:val="16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355"/>
        <w:gridCol w:w="4419"/>
        <w:gridCol w:w="4574"/>
      </w:tblGrid>
      <w:tr w:rsidR="00CA0EF8" w:rsidRPr="006D37B5" w14:paraId="2D46A18C" w14:textId="77777777" w:rsidTr="007009F3"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7CF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120" w:after="120"/>
              <w:jc w:val="center"/>
              <w:rPr>
                <w:b/>
                <w:sz w:val="18"/>
              </w:rPr>
            </w:pPr>
            <w:r w:rsidRPr="006D37B5">
              <w:rPr>
                <w:b/>
                <w:bCs/>
                <w:sz w:val="18"/>
                <w:szCs w:val="18"/>
                <w:rtl/>
                <w:lang w:eastAsia="ar"/>
              </w:rPr>
              <w:t>الأخطار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CB4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120" w:after="120"/>
              <w:jc w:val="center"/>
              <w:rPr>
                <w:b/>
                <w:sz w:val="18"/>
              </w:rPr>
            </w:pPr>
            <w:r w:rsidRPr="006D37B5">
              <w:rPr>
                <w:b/>
                <w:bCs/>
                <w:sz w:val="18"/>
                <w:szCs w:val="18"/>
                <w:rtl/>
                <w:lang w:eastAsia="ar"/>
              </w:rPr>
              <w:t>الملاحظات</w:t>
            </w:r>
          </w:p>
        </w:tc>
      </w:tr>
      <w:tr w:rsidR="00CA0EF8" w:rsidRPr="006D37B5" w14:paraId="4262B683" w14:textId="77777777" w:rsidTr="007009F3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50F4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120" w:after="60"/>
              <w:jc w:val="left"/>
              <w:rPr>
                <w:b/>
                <w:sz w:val="18"/>
              </w:rPr>
            </w:pPr>
            <w:r w:rsidRPr="006D37B5">
              <w:rPr>
                <w:b/>
                <w:bCs/>
                <w:sz w:val="18"/>
                <w:szCs w:val="18"/>
                <w:rtl/>
                <w:lang w:eastAsia="ar"/>
              </w:rPr>
              <w:t>أخطار مرتبطة بالأشخاص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2FE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120" w:after="60"/>
              <w:jc w:val="center"/>
              <w:rPr>
                <w:b/>
                <w:sz w:val="18"/>
              </w:rPr>
            </w:pPr>
          </w:p>
        </w:tc>
      </w:tr>
      <w:tr w:rsidR="00CA0EF8" w:rsidRPr="006D37B5" w14:paraId="279BF12F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A11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9D26" w14:textId="77777777" w:rsidR="00CA0EF8" w:rsidRPr="006D37B5" w:rsidRDefault="00CA0EF8" w:rsidP="007009F3">
            <w:pPr>
              <w:pBdr>
                <w:right w:val="single" w:sz="4" w:space="4" w:color="auto"/>
              </w:pBd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باستخدام المتفجرات أو في مكان قريب.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EA7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26148C79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CEF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3E3" w14:textId="77777777" w:rsidR="00CA0EF8" w:rsidRPr="006D37B5" w:rsidRDefault="00CA0EF8" w:rsidP="007009F3">
            <w:pPr>
              <w:pBdr>
                <w:right w:val="single" w:sz="4" w:space="4" w:color="auto"/>
              </w:pBd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إزاحة الركام.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E37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581F505F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49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EBA" w14:textId="77777777" w:rsidR="00CA0EF8" w:rsidRPr="006D37B5" w:rsidRDefault="00CA0EF8" w:rsidP="007009F3">
            <w:pPr>
              <w:pBdr>
                <w:right w:val="single" w:sz="4" w:space="4" w:color="auto"/>
              </w:pBd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الحفريات - تشمل حفر الأنفاق.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D21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0681401E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DFE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F2C" w14:textId="77777777" w:rsidR="00CA0EF8" w:rsidRPr="006D37B5" w:rsidRDefault="00CA0EF8" w:rsidP="007009F3">
            <w:pPr>
              <w:pBdr>
                <w:right w:val="single" w:sz="4" w:space="4" w:color="auto"/>
              </w:pBd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هدم الهياكل القائمة.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C63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1C1FD651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3AF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0AC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على ارتفاعات - أبراج، سقالات، وما إلى ذلك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6FF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11533885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550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744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فوق الماء.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74C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5C15EBB7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E2C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8F3E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نقل/استخدام المواد الخطرة - مثل الاسبيستوس ومذيبات التنظيف والوقود والرصاص والبنزين والكروم، وما إلى ذلك.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0E86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  <w:r w:rsidRPr="00D31BA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18368" wp14:editId="710B1A06">
                      <wp:simplePos x="0" y="0"/>
                      <wp:positionH relativeFrom="margin">
                        <wp:posOffset>-1983739</wp:posOffset>
                      </wp:positionH>
                      <wp:positionV relativeFrom="paragraph">
                        <wp:posOffset>610235</wp:posOffset>
                      </wp:positionV>
                      <wp:extent cx="3700401" cy="1828800"/>
                      <wp:effectExtent l="0" t="838200" r="0" b="8407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69848">
                                <a:off x="0" y="0"/>
                                <a:ext cx="370040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FE795D" w14:textId="77777777" w:rsidR="00CA0EF8" w:rsidRPr="00CA0EF8" w:rsidRDefault="00CA0EF8" w:rsidP="00CA0EF8">
                                  <w:pPr>
                                    <w:bidi/>
                                    <w:rPr>
                                      <w:rFonts w:cs="Arial"/>
                                      <w:b/>
                                      <w:outline/>
                                      <w:color w:val="FF0000"/>
                                      <w:sz w:val="96"/>
                                      <w:szCs w:val="96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183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156.2pt;margin-top:48.05pt;width:291.35pt;height:2in;rotation:-199901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" filled="f" stroked="f">
                      <v:textbox style="mso-fit-shape-to-text:t">
                        <w:txbxContent>
                          <w:p w14:paraId="12FE795D" w14:textId="77777777" w:rsidR="00CA0EF8" w:rsidRPr="00CA0EF8" w:rsidRDefault="00CA0EF8" w:rsidP="00CA0EF8">
                            <w:pPr>
                              <w:bidi/>
                              <w:rPr>
                                <w:rFonts w:cs="Arial"/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A0EF8" w:rsidRPr="006D37B5" w14:paraId="63490B24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ECB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607D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بالقرب من/بجوار المعدات/الأنابيب/السفن التي تتعامل مع المواد الكيميائية القابلة للاشتعال أو السامة أو غيرها من المواد الكيميائية الخطرة.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716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18D3B4FE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E1B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61C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في البيئات التي تتصف بالبرودة/السخونة.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01C5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06CBAE14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043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F5B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في الضغوط المرتفعة أو في مكان قريب منها.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58F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5E6723D8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18C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F1C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في/بالقرب من المعدات/الخطوط الموصلة بالطاقة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A8E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306A0E60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064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DE3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أداء أعمال رفع خطيرة - استخدام الرافعات والرافعات الشوكية، وما إلى ذلك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3FA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40E6F218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753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BCF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الدخول إلى الحاويات (الأماكن المغلقة)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A53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7807A910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AF1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2CA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عمليات الغطس - الغوص/التشبع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74F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6E668713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312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7E9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استخدام المركبات الآلية - الرافعات الشوكية والسيارات والشاحنات وما إلى ذلك.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E7A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703EEAB0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CC0D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B24" w14:textId="77777777" w:rsidR="00CA0EF8" w:rsidRPr="006D37B5" w:rsidRDefault="00CA0EF8" w:rsidP="007009F3">
            <w:pPr>
              <w:bidi/>
              <w:spacing w:before="60"/>
              <w:jc w:val="left"/>
              <w:rPr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باستخدام المواد/المعدات المؤينة/غير المؤينة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DFD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444D9169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297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00C" w14:textId="77777777" w:rsidR="00CA0EF8" w:rsidRPr="006D37B5" w:rsidRDefault="00CA0EF8" w:rsidP="007009F3">
            <w:pPr>
              <w:tabs>
                <w:tab w:val="left" w:pos="360"/>
              </w:tabs>
              <w:bidi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على ارتفاعات عالية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A5A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589C33FF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694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903" w14:textId="77777777" w:rsidR="00CA0EF8" w:rsidRPr="006D37B5" w:rsidRDefault="00CA0EF8" w:rsidP="007009F3">
            <w:pPr>
              <w:tabs>
                <w:tab w:val="left" w:pos="360"/>
              </w:tabs>
              <w:bidi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في المناطق التي ترتفع فيها معدلات الإصابة بالأمراض - مثل الملاريا وحمى الضنك والإيدز، وما إلى ذلك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BA3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336E6234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7EC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438" w14:textId="77777777" w:rsidR="00CA0EF8" w:rsidRPr="006D37B5" w:rsidRDefault="00CA0EF8" w:rsidP="007009F3">
            <w:pPr>
              <w:tabs>
                <w:tab w:val="left" w:pos="360"/>
              </w:tabs>
              <w:bidi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كفاية وتوافر الرعاية الطبية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0901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18A8CC7B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298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28E" w14:textId="77777777" w:rsidR="00CA0EF8" w:rsidRPr="006D37B5" w:rsidRDefault="00CA0EF8" w:rsidP="007009F3">
            <w:pPr>
              <w:tabs>
                <w:tab w:val="left" w:pos="360"/>
              </w:tabs>
              <w:bidi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ارتفاع معدل عمليات الخطف والجريمة والإرهاب (مخاوف أمنية عامة)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A6A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55C87192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876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F2C" w14:textId="77777777" w:rsidR="00CA0EF8" w:rsidRPr="006D37B5" w:rsidRDefault="00CA0EF8" w:rsidP="007009F3">
            <w:pPr>
              <w:tabs>
                <w:tab w:val="left" w:pos="360"/>
              </w:tabs>
              <w:bidi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مخاوف بيئة التشغيل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FB1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194F05C8" w14:textId="77777777" w:rsidTr="007009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D7B1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91F" w14:textId="77777777" w:rsidR="00CA0EF8" w:rsidRPr="006D37B5" w:rsidRDefault="00CA0EF8" w:rsidP="007009F3">
            <w:pPr>
              <w:tabs>
                <w:tab w:val="left" w:pos="360"/>
              </w:tabs>
              <w:bidi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الشهادات المطلوبة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076" w14:textId="77777777" w:rsidR="00CA0EF8" w:rsidRPr="006D37B5" w:rsidRDefault="00CA0EF8" w:rsidP="007009F3">
            <w:pPr>
              <w:tabs>
                <w:tab w:val="left" w:pos="360"/>
              </w:tabs>
              <w:bidi/>
              <w:jc w:val="center"/>
              <w:rPr>
                <w:b/>
                <w:sz w:val="18"/>
              </w:rPr>
            </w:pPr>
          </w:p>
        </w:tc>
      </w:tr>
      <w:tr w:rsidR="00CA0EF8" w:rsidRPr="006D37B5" w14:paraId="435DBDCF" w14:textId="77777777" w:rsidTr="007009F3">
        <w:trPr>
          <w:cantSplit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740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120" w:after="120"/>
              <w:jc w:val="center"/>
              <w:rPr>
                <w:b/>
                <w:sz w:val="18"/>
              </w:rPr>
            </w:pPr>
            <w:r w:rsidRPr="006D37B5">
              <w:rPr>
                <w:b/>
                <w:bCs/>
                <w:sz w:val="18"/>
                <w:szCs w:val="18"/>
                <w:rtl/>
                <w:lang w:eastAsia="ar"/>
              </w:rPr>
              <w:t>الأخطار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191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120" w:after="120"/>
              <w:jc w:val="center"/>
              <w:rPr>
                <w:b/>
                <w:sz w:val="18"/>
              </w:rPr>
            </w:pPr>
            <w:r w:rsidRPr="006D37B5">
              <w:rPr>
                <w:b/>
                <w:bCs/>
                <w:sz w:val="18"/>
                <w:szCs w:val="18"/>
                <w:rtl/>
                <w:lang w:eastAsia="ar"/>
              </w:rPr>
              <w:t>الملاحظات</w:t>
            </w:r>
          </w:p>
        </w:tc>
      </w:tr>
      <w:tr w:rsidR="00CA0EF8" w:rsidRPr="006D37B5" w14:paraId="1951B846" w14:textId="77777777" w:rsidTr="007009F3">
        <w:trPr>
          <w:cantSplit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8A2" w14:textId="77777777" w:rsidR="00CA0EF8" w:rsidRPr="006D37B5" w:rsidRDefault="00CA0EF8" w:rsidP="007009F3">
            <w:pPr>
              <w:keepNext/>
              <w:tabs>
                <w:tab w:val="left" w:pos="360"/>
              </w:tabs>
              <w:bidi/>
              <w:spacing w:before="120" w:after="60"/>
              <w:jc w:val="left"/>
              <w:outlineLvl w:val="5"/>
              <w:rPr>
                <w:b/>
                <w:sz w:val="18"/>
              </w:rPr>
            </w:pPr>
            <w:r w:rsidRPr="006D37B5">
              <w:rPr>
                <w:b/>
                <w:bCs/>
                <w:rtl/>
                <w:lang w:eastAsia="ar"/>
              </w:rPr>
              <w:t>الأخطار المتعلقة بالبيئة</w:t>
            </w:r>
          </w:p>
        </w:tc>
      </w:tr>
      <w:tr w:rsidR="00CA0EF8" w:rsidRPr="006D37B5" w14:paraId="1818B5AA" w14:textId="77777777" w:rsidTr="007009F3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DFF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2520"/>
              <w:jc w:val="left"/>
              <w:rPr>
                <w:bCs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528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في البيئات الحساسة أو بالقرب منها - الأراضي الرطبة والأنواع المحمية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3C0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2F89F506" w14:textId="77777777" w:rsidTr="007009F3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4FB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9D4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احتمالية حدوث انسكابات في المجاري المائية أو بيئات حساسة أخرى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024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6D64A7E3" w14:textId="77777777" w:rsidTr="007009F3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A90A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7DF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صرامة الأنظمة والقوانين/اللوائح البيئية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DC9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4C563DCB" w14:textId="77777777" w:rsidTr="007009F3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092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1A77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مجتمع بيئي نشط - محليًا و/أو عالميًا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082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69880858" w14:textId="77777777" w:rsidTr="007009F3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42C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425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انبعاثات الهواء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FD9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6DABD3A5" w14:textId="77777777" w:rsidTr="007009F3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7E0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22D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انبعاثات المياه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5BDB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794B5328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124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A2F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توليد المخلفات - خطرة وغير خطرة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3DE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2CBA3EA7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1ADE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1E0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المناطق بالغة الأهمية من الناحية الأثرية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F15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4B3BE295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517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45B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المناطق بالغة الأهمية من الناحية التاريخية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F51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0005416C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738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810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المناطق بالغة الأهمية من الناحية الثقافية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3AF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  <w:bookmarkStart w:id="0" w:name="_GoBack"/>
            <w:bookmarkEnd w:id="0"/>
          </w:p>
        </w:tc>
      </w:tr>
      <w:tr w:rsidR="00CA0EF8" w:rsidRPr="006D37B5" w14:paraId="266B4400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EA0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847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الشهادات المطلوبة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F91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015E0882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1EC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3756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التراخيص المطلوبة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E124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649118B1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F792252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35265505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jc w:val="left"/>
              <w:rPr>
                <w:bCs/>
                <w:sz w:val="18"/>
              </w:rPr>
            </w:pP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</w:tcPr>
          <w:p w14:paraId="1A986CC2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jc w:val="left"/>
              <w:rPr>
                <w:b/>
                <w:sz w:val="18"/>
              </w:rPr>
            </w:pPr>
          </w:p>
        </w:tc>
      </w:tr>
      <w:tr w:rsidR="00CA0EF8" w:rsidRPr="006D37B5" w14:paraId="4FA6C33B" w14:textId="77777777" w:rsidTr="007009F3">
        <w:trPr>
          <w:cantSplit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810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120" w:after="60"/>
              <w:jc w:val="left"/>
              <w:rPr>
                <w:b/>
                <w:sz w:val="18"/>
              </w:rPr>
            </w:pPr>
            <w:r w:rsidRPr="006D37B5">
              <w:rPr>
                <w:b/>
                <w:bCs/>
                <w:sz w:val="18"/>
                <w:szCs w:val="18"/>
                <w:rtl/>
                <w:lang w:eastAsia="ar"/>
              </w:rPr>
              <w:t>إمكانية التعرض والمسؤولية</w:t>
            </w:r>
          </w:p>
        </w:tc>
      </w:tr>
      <w:tr w:rsidR="00CA0EF8" w:rsidRPr="006D37B5" w14:paraId="2B1FDC45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AF8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3272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 xml:space="preserve">احتمال خسارة كبرى للمعدات/الممتلكات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DE6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430954C4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322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E70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التأثير على الجدول الزمني و/أو المتطلبات التعاقدية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CA5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6F294DCF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056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AFA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البيئة القانونية - إمكانية التقاضي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CB3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0D91A44C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5CA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5F7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البيئة التنظيمية - الصرامة وفرض عقوبات جنائية/مدنية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552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10BF101F" w14:textId="77777777" w:rsidTr="007009F3">
        <w:trPr>
          <w:cantSplit/>
        </w:trPr>
        <w:tc>
          <w:tcPr>
            <w:tcW w:w="9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8B25B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120" w:after="60"/>
              <w:jc w:val="left"/>
              <w:rPr>
                <w:b/>
                <w:sz w:val="18"/>
              </w:rPr>
            </w:pPr>
          </w:p>
        </w:tc>
      </w:tr>
      <w:tr w:rsidR="00CA0EF8" w:rsidRPr="006D37B5" w14:paraId="2B9E26B3" w14:textId="77777777" w:rsidTr="007009F3">
        <w:trPr>
          <w:cantSplit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E8C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120" w:after="60"/>
              <w:jc w:val="left"/>
              <w:rPr>
                <w:b/>
                <w:sz w:val="18"/>
              </w:rPr>
            </w:pPr>
            <w:r w:rsidRPr="006D37B5">
              <w:rPr>
                <w:b/>
                <w:bCs/>
                <w:sz w:val="18"/>
                <w:szCs w:val="18"/>
                <w:rtl/>
                <w:lang w:eastAsia="ar"/>
              </w:rPr>
              <w:t>مخاطر تعرض السمعة للتشويه/الصورة العامة</w:t>
            </w:r>
          </w:p>
        </w:tc>
      </w:tr>
      <w:tr w:rsidR="00CA0EF8" w:rsidRPr="006D37B5" w14:paraId="72F5659F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073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DA4C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جودة العمل - مستوى التعقيد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C74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59398C1A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98A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8D0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العمل في البيئات الحساسة عن بُعد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9B2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1D16D4F8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481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148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عدد المنظمات غير الحكومية المهتمة بالمنطقة.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3EBE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7AB086EF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EAF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7914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متطلبات المحتوى المحلي - الأشخاص/الشركات/البضائع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560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11E6C5B6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E77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BDF2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الوصول إلى الموقع عن طريق وسائل الإعلام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A46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CA0EF8" w:rsidRPr="006D37B5" w14:paraId="4439885A" w14:textId="77777777" w:rsidTr="007009F3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845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EE6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الصورة العامة للمقاول المحتمل محليًا/وطنيًا/</w:t>
            </w:r>
          </w:p>
          <w:p w14:paraId="03C7C39C" w14:textId="77777777" w:rsidR="00CA0EF8" w:rsidRPr="006D37B5" w:rsidRDefault="00CA0EF8" w:rsidP="007009F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  <w:r w:rsidRPr="006D37B5">
              <w:rPr>
                <w:sz w:val="18"/>
                <w:szCs w:val="18"/>
                <w:rtl/>
                <w:lang w:eastAsia="ar"/>
              </w:rPr>
              <w:t>عالميًا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A49" w14:textId="77777777" w:rsidR="00CA0EF8" w:rsidRPr="006D37B5" w:rsidRDefault="00CA0EF8" w:rsidP="007009F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</w:tbl>
    <w:p w14:paraId="6E30C99F" w14:textId="77777777" w:rsidR="00CA0EF8" w:rsidRDefault="00CA0EF8" w:rsidP="00CA0EF8">
      <w:pPr>
        <w:bidi/>
      </w:pPr>
    </w:p>
    <w:p w14:paraId="60B3CC4D" w14:textId="77777777" w:rsidR="00235895" w:rsidRPr="00CA0EF8" w:rsidRDefault="00235895" w:rsidP="00CA0EF8"/>
    <w:sectPr w:rsidR="00235895" w:rsidRPr="00CA0EF8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8089" w14:textId="77777777" w:rsidR="00265B3D" w:rsidRDefault="00265B3D">
      <w:r>
        <w:separator/>
      </w:r>
    </w:p>
    <w:p w14:paraId="28D6DB3E" w14:textId="77777777" w:rsidR="00265B3D" w:rsidRDefault="00265B3D"/>
  </w:endnote>
  <w:endnote w:type="continuationSeparator" w:id="0">
    <w:p w14:paraId="4D1EB3A7" w14:textId="77777777" w:rsidR="00265B3D" w:rsidRDefault="00265B3D">
      <w:r>
        <w:continuationSeparator/>
      </w:r>
    </w:p>
    <w:p w14:paraId="2DDEE26A" w14:textId="77777777" w:rsidR="00265B3D" w:rsidRDefault="00265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0948" w14:textId="1FB96FB2" w:rsidR="0096203B" w:rsidRPr="006C1ABD" w:rsidRDefault="0096203B" w:rsidP="0096203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96EBE7" wp14:editId="54E4CD0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CE450" id="Straight Connector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AB239B98AFC94DE0818A4440B10B3D7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EOM-KS0-TP-000017-AR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0F62DC73DFF3473EA10539F3F4D5732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BCFA9525F6F841B48C59CF539D7DF20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03E162E" w14:textId="3F5FDCF5" w:rsidR="0096203B" w:rsidRPr="006C1ABD" w:rsidRDefault="0096203B" w:rsidP="0096203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9A849C2" w14:textId="04CC9A07" w:rsidR="00010206" w:rsidRPr="0096203B" w:rsidRDefault="0096203B" w:rsidP="0096203B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27D7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0DA6B42A" w14:textId="77777777" w:rsidTr="00971B7A">
      <w:trPr>
        <w:jc w:val="center"/>
      </w:trPr>
      <w:tc>
        <w:tcPr>
          <w:tcW w:w="3115" w:type="dxa"/>
        </w:tcPr>
        <w:p w14:paraId="27982831" w14:textId="10AD4AE0" w:rsidR="00583BAF" w:rsidRDefault="00265B3D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1123A">
                <w:rPr>
                  <w:sz w:val="16"/>
                  <w:szCs w:val="16"/>
                  <w:lang w:val="en-AU"/>
                </w:rPr>
                <w:t>EOM-KS0-TP-000017-AR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134AA56A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31B87D2B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59E3B3F5" w14:textId="77777777" w:rsidTr="00971B7A">
      <w:trPr>
        <w:jc w:val="center"/>
      </w:trPr>
      <w:tc>
        <w:tcPr>
          <w:tcW w:w="9345" w:type="dxa"/>
          <w:gridSpan w:val="3"/>
        </w:tcPr>
        <w:p w14:paraId="4F5A650E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1745BF90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0F7BB119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69D2A29E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76540" w14:textId="77777777" w:rsidR="00265B3D" w:rsidRDefault="00265B3D">
      <w:r>
        <w:separator/>
      </w:r>
    </w:p>
    <w:p w14:paraId="3293FA9A" w14:textId="77777777" w:rsidR="00265B3D" w:rsidRDefault="00265B3D"/>
  </w:footnote>
  <w:footnote w:type="continuationSeparator" w:id="0">
    <w:p w14:paraId="48834F8E" w14:textId="77777777" w:rsidR="00265B3D" w:rsidRDefault="00265B3D">
      <w:r>
        <w:continuationSeparator/>
      </w:r>
    </w:p>
    <w:p w14:paraId="708FC357" w14:textId="77777777" w:rsidR="00265B3D" w:rsidRDefault="00265B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BF9D" w14:textId="77777777" w:rsidR="00AC1B11" w:rsidRDefault="00AC1B11">
    <w:pPr>
      <w:pStyle w:val="Header"/>
    </w:pPr>
  </w:p>
  <w:p w14:paraId="5A7CD1F6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5EFC" w14:textId="149F64E3" w:rsidR="00EB407C" w:rsidRPr="0096203B" w:rsidRDefault="00CA0EF8" w:rsidP="0096203B">
    <w:pPr>
      <w:pStyle w:val="Header"/>
      <w:jc w:val="center"/>
      <w:rPr>
        <w:rFonts w:ascii="FS Albert Arabic" w:hAnsi="FS Albert Arabic" w:cs="FS Albert Arabic"/>
        <w:b/>
        <w:bCs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51B83B71" wp14:editId="04940112">
          <wp:simplePos x="0" y="0"/>
          <wp:positionH relativeFrom="leftMargin">
            <wp:posOffset>188847</wp:posOffset>
          </wp:positionH>
          <wp:positionV relativeFrom="page">
            <wp:posOffset>56276</wp:posOffset>
          </wp:positionV>
          <wp:extent cx="580445" cy="681058"/>
          <wp:effectExtent l="0" t="0" r="0" b="0"/>
          <wp:wrapNone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445" cy="681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0EF8">
      <w:rPr>
        <w:rFonts w:ascii="FS Albert Arabic" w:hAnsi="FS Albert Arabic" w:cs="FS Albert Arabic"/>
        <w:b/>
        <w:bCs/>
        <w:rtl/>
        <w:lang w:eastAsia="ar"/>
      </w:rPr>
      <w:t xml:space="preserve">نموذج قائمة التدقيق </w:t>
    </w:r>
    <w:r w:rsidRPr="00CA0EF8">
      <w:rPr>
        <w:rFonts w:ascii="FS Albert Arabic" w:hAnsi="FS Albert Arabic" w:cs="FS Albert Arabic"/>
        <w:b/>
        <w:bCs/>
        <w:rtl/>
        <w:lang w:eastAsia="ar"/>
      </w:rPr>
      <w:t>الخاصة بتقييم مخاطر العمل</w:t>
    </w:r>
  </w:p>
  <w:p w14:paraId="0069DDC4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8E4AD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6CA99776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543FE55B" wp14:editId="324EC593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4D43994"/>
    <w:multiLevelType w:val="hybridMultilevel"/>
    <w:tmpl w:val="17547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0206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B3D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C81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57601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0D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2C9E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A84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1D7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23A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6F9C"/>
    <w:rsid w:val="009575A2"/>
    <w:rsid w:val="00960257"/>
    <w:rsid w:val="0096203B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0EF8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E8F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767172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AB239B98AFC94DE0818A4440B10B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5DCBC-E051-4C0C-923F-3FCC650595D5}"/>
      </w:docPartPr>
      <w:docPartBody>
        <w:p w:rsidR="00000000" w:rsidRDefault="00764A9D" w:rsidP="00764A9D">
          <w:pPr>
            <w:pStyle w:val="AB239B98AFC94DE0818A4440B10B3D7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F62DC73DFF3473EA10539F3F4D57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8A62-1330-4886-BEA6-8A729BFA423A}"/>
      </w:docPartPr>
      <w:docPartBody>
        <w:p w:rsidR="00000000" w:rsidRDefault="00764A9D" w:rsidP="00764A9D">
          <w:pPr>
            <w:pStyle w:val="0F62DC73DFF3473EA10539F3F4D5732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CFA9525F6F841B48C59CF539D7D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784DE-FCA8-4E53-BD31-E431B69896F5}"/>
      </w:docPartPr>
      <w:docPartBody>
        <w:p w:rsidR="00000000" w:rsidRDefault="00764A9D" w:rsidP="00764A9D">
          <w:pPr>
            <w:pStyle w:val="BCFA9525F6F841B48C59CF539D7DF20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036FEE"/>
    <w:rsid w:val="000C6845"/>
    <w:rsid w:val="001C7764"/>
    <w:rsid w:val="00424DE7"/>
    <w:rsid w:val="005D4CA4"/>
    <w:rsid w:val="006E1022"/>
    <w:rsid w:val="00737E16"/>
    <w:rsid w:val="00764A9D"/>
    <w:rsid w:val="00873D3E"/>
    <w:rsid w:val="00927877"/>
    <w:rsid w:val="00AA1E51"/>
    <w:rsid w:val="00CF6D6B"/>
    <w:rsid w:val="00E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64A9D"/>
    <w:rPr>
      <w:color w:val="808080"/>
    </w:rPr>
  </w:style>
  <w:style w:type="paragraph" w:customStyle="1" w:styleId="599A795722F0484184F99891215FC1A4">
    <w:name w:val="599A795722F0484184F99891215FC1A4"/>
    <w:rsid w:val="00737E16"/>
  </w:style>
  <w:style w:type="paragraph" w:customStyle="1" w:styleId="2749DFC4197B45549C3256BFF61EB1D2">
    <w:name w:val="2749DFC4197B45549C3256BFF61EB1D2"/>
    <w:rsid w:val="00737E16"/>
  </w:style>
  <w:style w:type="paragraph" w:customStyle="1" w:styleId="AB239B98AFC94DE0818A4440B10B3D7E">
    <w:name w:val="AB239B98AFC94DE0818A4440B10B3D7E"/>
    <w:rsid w:val="00764A9D"/>
    <w:pPr>
      <w:bidi/>
    </w:pPr>
  </w:style>
  <w:style w:type="paragraph" w:customStyle="1" w:styleId="0F62DC73DFF3473EA10539F3F4D57326">
    <w:name w:val="0F62DC73DFF3473EA10539F3F4D57326"/>
    <w:rsid w:val="00764A9D"/>
    <w:pPr>
      <w:bidi/>
    </w:pPr>
  </w:style>
  <w:style w:type="paragraph" w:customStyle="1" w:styleId="BCFA9525F6F841B48C59CF539D7DF203">
    <w:name w:val="BCFA9525F6F841B48C59CF539D7DF203"/>
    <w:rsid w:val="00764A9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8FEC54B-344A-4F8B-B401-82712EBE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2770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EOM-KS0-TP-000017-AR</dc:subject>
  <dc:creator>Joel Reyes</dc:creator>
  <cp:keywords>ᅟ</cp:keywords>
  <cp:lastModifiedBy>الاء الزهراني Alaa Alzahrani</cp:lastModifiedBy>
  <cp:revision>8</cp:revision>
  <cp:lastPrinted>2017-10-15T07:33:00Z</cp:lastPrinted>
  <dcterms:created xsi:type="dcterms:W3CDTF">2020-02-19T07:26:00Z</dcterms:created>
  <dcterms:modified xsi:type="dcterms:W3CDTF">2022-02-07T12:38:00Z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